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7 vom 29. Juli 2020</w:t>
      </w:r>
    </w:p>
    <w:p>
      <w:r>
        <w:t>GR Gerichte, 2020-07-29, DE</w:t>
      </w:r>
    </w:p>
    <w:p>
      <w:r>
        <w:rPr>
          <w:b/>
        </w:rPr>
        <w:t xml:space="preserve">Quelle: </w:t>
      </w:r>
      <w:r>
        <w:t>https://mcp.opencaselaw.ch/entscheid/gr_gerichte_ZK2 2019 7</w:t>
      </w:r>
    </w:p>
    <w:p>
      <w:r>
        <w:t>FR: GR_GERICHTE ZK2 2019 7 du 29 juillet 2020</w:t>
      </w:r>
    </w:p>
    <w:p>
      <w:r>
        <w:t>IT: GR_GERICHTE ZK2 2019 7 del 29 luglio 2020</w:t>
      </w:r>
    </w:p>
    <w:p>
      <w:pPr>
        <w:pStyle w:val="Heading2"/>
      </w:pPr>
      <w:r>
        <w:t>Regeste</w:t>
      </w:r>
    </w:p>
    <w:p>
      <w:r>
        <w:t>Forderung und definitive Eintragung eines Bauhandwerkerpfandrechts | Beschwerde OR Werkvertrag/Verlagsvertrag</w:t>
      </w:r>
    </w:p>
    <w:p>
      <w:pPr>
        <w:pStyle w:val="Heading2"/>
      </w:pPr>
      <w:r>
        <w:t>Erwägungen</w:t>
      </w:r>
    </w:p>
    <w:p>
      <w:r>
        <w:rPr>
          <w:b/>
        </w:rPr>
        <w:t>E. 6</w:t>
      </w:r>
    </w:p>
    <w:p>
      <w:r>
        <w:t>/ 12 nügend dargestellten Sachverhalt zu ergänzen. Zudem sei ihm verwehrt worden, sich ein zweites Mal unbeschränkt zum Sachverhalt zu äussern (Art. 229 Abs. 2 und 3 ZPO; KG act. A.1, S. 4 f.). Des Weiteren bemängelt der Beschwerdeführer die zugesprochene ausseramtliche Entschädigung. Die ausseramtliche Entschä- digung sei zu kürzen, da die Honorarnote Bemühungen erfasse, welche vor In- stanziierung der Klage geleistet worden seien. Auch die Instruktions- und Haupt- verhandlung vom 29. August 2018 habe, entgegen der vom Beschwerdegegner angegebenen 180 Minuten, insgesamt nur 80 Minuten gedauert, womit sich der Zeitaufwand um 100 Minuten verringere (KG act. A.1, S. 5). Nachfolgend gilt es, diese Vorbringen einzeln zu prüfen. 3.1 Ist das Vorbringen einer Partei unklar, widersprüchlich, unbestimmt oder offensichtlich unvollständig, so gibt ihr das Gericht durch entsprechende Fragen Gelegenheit zur Klarstellung und Ergänzung (Art. 56 ZPO). Eine Partei ist zur Rü- ge einer Verletzung von Art. 56 ZPO legitimiert, sofern sie glaubhaft machen kann, dass die korrekte Ausübung der gerichtlichen Fragepflicht zu einem für sie günsti- geren Ausgang des Verfahrens geführt hätte. Dabei muss sie aufzeigen, wie sie auf die (unterbliebene) Frage reagiert hätte. Ohne einen solchen Nachweis fehlt es an einem Rechtsschutzinteresse (Urteil des Bundesgerichts 4A_78/2014 vom 23. September 2014 E. 3.3.1 m.w.H.). 3.2. In seiner Beschwerde vom 6. Februar 2019 begnügt sich der Beschwerde- führer mit dem Hinweis, dass der Vorderrichter ihn mit prozessleitender Verfügung vom 23. April 2018 aufgefordert habe, die in der Klage erwähnten Unterlagen nachzureichen. Der Vorderrichter habe dabei nicht erwähnt, dass die Klage zu unsubstanziiert sei. Durch Unterlassen des Hinweises auf die ungenügende Sub- stanziierung habe der Vorderrichter gegen Art. 56 und Art. 247 Abs. 1 ZPO ver- stossen (KG act. A.1, S. 4). Eine Glaubhaftmachung durch den Beschwerdeführer, dass die korrekte Ausübung der Fragepflicht zu einem für ihn günstigeren Ergeb- nis geführt hätte, ist der Beschwerde nicht zu entnehmen. Aus der Beschwerde vom 6. Februar 2019 geht ebenfalls nicht hervor, wie der Beschwerdeführer auf die richterlichen Fragen reagiert hätte. Der blosse Hinweis auf richterliche Fragen, ohne diese oder deren Einfluss auf den Ausgang des Verfahrens entsprechend zu nennen, reicht nicht, um ein Rechtsschutzinteresse zu begründen. 3.3. Mangels Rechtsschutzinteresse ist in Bezug auf die Rüge der Verletzung der richterlichen Fragepflicht nach Art. 56 ZPO i.V.m. Art. 247 Abs. 1 ZPO nicht einzutreten.</w:t>
      </w:r>
    </w:p>
    <w:p>
      <w:r>
        <w:rPr>
          <w:b/>
        </w:rPr>
        <w:t>E. 6.1</w:t>
      </w:r>
    </w:p>
    <w:p>
      <w:r>
        <w:t>Kann nach dem Gesagten auf die Beschwerde nicht eingetreten werden, so gehen die Kosten des Beschwerdeverfahrens zu Lasten des Beschwerdeführers (Art. 106 Abs. 1 ZPO). Als Prozesskosten gelten die Gerichtskosten (Art. 95 Abs. 1 lit. a ZPO) und die Parteientschädigung (Art. 95 Abs. 1 lit. b ZPO).</w:t>
      </w:r>
    </w:p>
    <w:p>
      <w:r>
        <w:rPr>
          <w:b/>
        </w:rPr>
        <w:t>E. 6.2</w:t>
      </w:r>
    </w:p>
    <w:p>
      <w:r>
        <w:t>Für Beschwerdeverfahren erhebt das Kantonsgericht von Graubünden gemäss Art. 10 Abs. 1 der Verordnung über die Gerichtsgebühren in Zivilverfahren (VGZ; BR 320.210) eine Entscheidgebühr zwischen CHF 500.00 und CHF 8'000.00. Vorliegend ist die Entscheidgebühr auf CHF 2'000.00 festzusetzen. Die Kosten für das Beschwerdeverfahren in der Höhe von CHF 2'000.00 gehen zu Lasten des Beschwerdeführers. Sie werden mit dem von ihm geleisteten Kosten- vorschuss in derselben Höhe verrechnet.</w:t>
      </w:r>
    </w:p>
    <w:p>
      <w:r>
        <w:rPr>
          <w:b/>
        </w:rPr>
        <w:t>E. 6.3</w:t>
      </w:r>
    </w:p>
    <w:p>
      <w:r>
        <w:t>Der Beschwerdeführer ist zudem zu einer ausseramtlichen Entschädigung an den Beschwerdegegner zu verpflichten. Der Rechtsvertreter des Beschwerde- gegners reichte eine Honorarnote ein (KG act. G.1). Die ausseramtliche Entschä- digung entspricht der eingereichten Honorarnote des Beschwerdegegners in der Höhe von CHF 2'017.55, welche nicht zu beanstanden ist.</w:t>
      </w:r>
    </w:p>
    <w:p>
      <w:r>
        <w:rPr>
          <w:b/>
        </w:rPr>
        <w:t>E. 7</w:t>
      </w:r>
    </w:p>
    <w:p>
      <w:r>
        <w:t>/ 12 3.4. Selbst wenn auf die vorgebrachte Rüge einzutreten wäre, ist festzuhalten, dass der Beschwerdeführer bereits in der Klageantwort des Beschwerdegegners mit der Unsubstanziiertheit seiner Klage konfrontiert wurde (RG act. I./2, S. 3). Er hätte somit in der Instruktionsverhandlung darauf reagieren können. Zudem ist der Beschwerdeantwort (KG act. A.2, S. 5) zu entnehmen, dass der Vorderrichter an- lässlich der Instruktionsverhandlung ausgiebig von der Fragepflicht Gebrauch ge- macht habe. Diese Behauptung wurde denn auch vom Beschwerdeführer nicht bestritten. Aus diesen Gründen wäre die Beschwerde in diesem Punkt ohnehin abzuweisen. 4.1. Jede Partei hat das Recht, sich vor Gericht zweimal unbeschränkt zu äus- sern (BGE 143 III 297 E. 6.6; 140 III 312 E. 6.3.2.3). Ein erstes Mal im Rahmen des Schriftenwechsels. Ein zweites Mal entweder im Rahmen eines weiteren Schriftenwechsels (Art. 225 ZPO), einer Instruktionsverhandlung (Art. 226 ZPO) oder zu Beginn der Hauptverhandlung vor den ersten Parteivorträgen (Art. 229 Abs. 2 ZPO; Urteil des Bundesgerichts 4A_494/2017 vom 31. Januar 2018 E. 2.4.1). Hat weder ein zweiter Schriftenwechsel noch eine Instruktionsverhand- lung stattgefunden, so können neue Tatsachen und Beweismittel zu Beginn der Hauptverhandlung unbeschränkt vorgebracht werden (Art. 229 Abs. 2 ZPO). 4.2. Aus der Verfahrenshistorie geht hervor, dass sich der Beschwerdeführer nach erfolgtem ersten Schriftenwechsel anlässlich der Instruktionsverhandlung replicando zur Klageantwort geäussert hat und seine schriftliche Replik (RG act. II./16) erst anlässlich der Hauptverhandlung (RG act. I./5) eingebracht hat. Dies wird denn auch vom Beschwerdegegner behauptet (KG act. A.2, S. 3). Diese Be- hauptung wurde vom Beschwerdeführer nicht bestritten. Dass die schriftliche Re- plik an der Instruktionsverhandlung eingereicht worden wäre, lässt sich auch dem entsprechenden Protokoll (RG act. I./4) nicht entnehmen. Aufgrund der unbe- schränkten zweiten Äusserung anlässlich der Instruktionsverhandlung konnten zu Beginn der Hauptverhandlung neue Tatsachen oder Beweismittel nicht mehr un- beschränkt vorgebracht werden. Die Behauptung der fehlenden zweimaligen un- beschränkten Äusserung ist nicht nachvollziehbar. Folglich hat der Beschwerde- führer kein schutzwürdiges Interesse an der Behandlung seiner diesbezüglichen Rüge, weshalb darauf nicht eingetreten werden kann. 4.3. Gemäss Art. 29 Abs. 2 BV haben Parteien Anspruch auf rechtliches Gehör. Der Anspruch auf rechtliches Gehör ist formeller Natur, womit seine Verletzung ungeachtet der materiellen Begründetheit des Rechtsmittels zur Gutheissung der Beschwerde und zur Aufhebung des angefochtenen Entscheides führt (BGE 135 I 187 E. 2.2 m.w.H.). Für eine erfolgreiche Rüge der Verweigerung des rechtlichen</w:t>
      </w:r>
    </w:p>
    <w:p>
      <w:r>
        <w:rPr>
          <w:b/>
        </w:rPr>
        <w:t>E. 8</w:t>
      </w:r>
    </w:p>
    <w:p>
      <w:r>
        <w:t>/ 12 Gehörs wird vorausgesetzt, dass der Beschwerdeführer in der Begründung des Rechtsmittels angibt, welche Vorbringen er in das kantonale Verfahren einge- bracht hätte und inwiefern diese erheblich gewesen wären. Andernfalls besteht die Gefahr, dass die Rückweisung der Sache an die Vorinstanz allein aufgrund der festgestellten Verletzung des rechtlichen Gehörs zu einem Leerlauf und zu einer unnötigen Verzögerung führe, die mit dem Interesse der Partei an einer beförderli- chen Beurteilung der Streitsache nicht zu vereinbaren wäre (Urteil des Bundesge- richts 4A_453/2016 vom 16. Februar 2017 E. 4.2.3 m.w.H.). 4.4. Selbst wenn die Vorinstanz Art. 229 Abs. 2 oder 3 ZPO unrichtig angewen- det hat, führt dies nicht automatisch zur Aufhebung des angefochtenen Ent- scheids. Die gerügte Rechtsverletzung muss nachweislich Auswirkungen auf das Entscheidergebnis gehabt haben. Dies gilt insbesondere bei Verletzungen des Verfahrensrechts, da dieses nie Selbstzweck ist. Die fehlerhafte Anwendung einer Norm aus der Zivilprozessordnung kann nur dann zur Gutheissung einer Be- schwerde führen, wenn diese für den Ausgang des Verfahrens kausal war, ausser der verletzten Regel komme formelle Natur zu (Urteil des Bundesgerichts 4A_221/2015 vom 23. November 2015 E. 3.2). Hat sich die gerügte Rechtsverlet- zung nicht auf das Entscheidergebnis ausgewirkt, hat der Beschwerdeführer kein schutzwürdiges Interesse an der Behandlung seiner diesbezüglichen Rüge (Urteil des Bundesgerichts 4A_532/2015 vom 29. März 2016 E. 3.3). 4.5. Wäre der Vorinstanz, entgegen vorstehender Ausführungen, eine Verlet- zung gemäss Art. 229 Abs. 2 und 3 ZPO vorzuwerfen, hat es der Beschwerdefüh- rer unterlassen, die Auswirkungen aufzuzeigen, welche die behauptete Verfah- rensverletzung auf den Verfahrensausgang gehabt haben soll. Entsprechend wäre die Beschwerde in diesem Punkt abzuweisen, sofern darauf eingetreten würde. 5.1. Im angefochtenen Entscheid wurde der Beschwerdeführer zur Zahlung ei- ner ausseramtlichen Entschädigung in der Höhe von CHF 4'282.50 an den Be- schwerdegegner verpflichtet (KG act. B.1). Der Beschwerdeführer verlangt die Kürzung der ausseramtlichen Entschädigung des Rechtsvertreters des Beschwer- degegners. Dabei macht er zwei Beanstandungen geltend. Zum einen seien Bemühungen erfasst, welche bereits vor Instanziierung der Klage geleistet wur- den. Zum anderen habe die Instruktions- und Hauptverhandlung nur 80 Minuten und nicht 180 Minuten gedauert. Die Honorarnote des Rechtsvertreters sei ent- sprechend um 100 Minuten zu kürzen (KG act. A.1, S. 5). Demgegenüber macht der Beschwerdegegner geltend, dass die Aufwendungen nach Eintragung des provisorischen Bauhandwerkerpfandrechts als vorprozessuale Tätigkeiten zu wer- ten seien. Des Weiteren gehe aus der detaillierten Honorarnote hervor, dass alle</w:t>
      </w:r>
    </w:p>
    <w:p>
      <w:r>
        <w:rPr>
          <w:b/>
        </w:rPr>
        <w:t>E. 9</w:t>
      </w:r>
    </w:p>
    <w:p>
      <w:r>
        <w:t>/ 12 Tätigkeiten im Hinblick auf die Klage des Beschwerdeführers gemacht worden seien. Gegenteiliges sei vom Beschwerdeführer zu Recht nicht behauptet worden. In Bezug auf die Instruktions- und Hauptverhandlung sei der Aufwand vorab ge- schätzt worden, um anlässlich der Hauptverhandlung die Honorarnote angeben zu können. Für Reisezeit, Vor- und Nachbesprechung mit der Mandantschaft sowie der effektiven Verhandlungsdauer seien effektiv nur 150 Minuten aufgewendet worden. Das geltend gemachte Honorar sei um 30 Minuten zu reduzieren. Da je- doch diesbezüglich kein Antrag gestellt worden sei, sei die Beschwerde in diesem Punkt abzuweisen, soweit überhaupt darauf einzutreten sei (KG act. A.2, S. 7 f.). 5.2. Art. 321 Abs. 1 ZPO besagt, dass die Beschwerde schriftlich und begründet einzureichen sei. Bei der Begründung handelt es sich um eine gesetzliche, von Amtes wegen zu prüfende Zulässigkeitsvoraussetzung. Fehlt sie, tritt das obere kantonale Gericht auf das Rechtsmittel nicht ein. Für eine Beschwerde gelten denn auch mindestens dieselben Begründungsanforderungen wie für eine Beru- fung (Urteil des Bundesgerichts 5A_247/2013 vom 15. Oktober 2013 E. 3.1). 5.3. Aus der Pflicht zur Begründung der Beschwerde folgt, dass genau bestimm- te Beschwerdeanträge zu stellen sind. Die Beschwerde hat konkrete Rechtsbe- gehren zu enthalten, aus denen hervorgeht, in welchem Umfang der vorinstanzli- che Entscheid angefochten wird (vgl. Dieter Freiburghaus/Susanne Afheldt, in: Sutter-Somm/Hasenböhler/Leuenberger [Hrsg.], Kommentar zur Schweizerischen Zivilprozessordnung [ZPO], 3. Aufl., Zürich 2016, N 14 zu Art. 321 ZPO; Urteil des Kantonsgerichts von Graubünden ZK2 17 11 vom 19. Mai 2017 E. 2a). Rechtsbe- gehren sind im Lichte ihrer Begründung auszulegen (BGE 137 III 617 E. 6.2). Selbst wenn sich aus der Begründung ergibt, dass der Beschwerdeführer eine Herabsetzung der Entscheidgebühr will, weil er der Auffassung ist, diese sei un- angemessen, so ist es ihm ohne weiteres zuzumuten, die seiner Ansicht nach an- gemessene Gebühr zu beziffern. Es bleibt dann Sache des Gerichts zu entschei- den, ob diesem Antrag gefolgt werden kann (Urteil des Bundesgerichts 4D_61/2011 vom 26. Oktober 2011 E. 2.3). Auf die Begründung der Rechtsbegeh- ren wird jedoch nur zurückgegriffen, wenn das Begehren unklar ist und einer Aus- legung bedarf (vgl. Urteil des Bundesgerichts 4A_397/2016 vom 30. November 2016 E. 2.1 m.w.H.). Ein Subeventualantrag, wonach die vorinstanzlichen Ge- richtskosten sowie die zugesprochene Parteientschädigung für den Fall, dass dem Haupt- und Eventualbegehren (Aufhebung des angefochtenen Entscheids und Abweisung der Klage bzw. Rückweisung an die Vorinstanz) kein Erfolg beschei- den sein sollte, auf ein angemessenes Mass herabzusetzen seien, ist inhaltlich gleichzusetzen mit einer selbständigen Anfechtung eines Kostenentscheids. An-</w:t>
      </w:r>
    </w:p>
    <w:p>
      <w:r>
        <w:rPr>
          <w:b/>
        </w:rPr>
        <w:t>E. 10</w:t>
      </w:r>
    </w:p>
    <w:p>
      <w:r>
        <w:t>/ 12 träge betreffend Geldforderungen sind jedoch zu beziffern. Dies gilt gemäss bun- desgerichtlicher Rechtsprechung auch für die selbständige Anfechtung von Kos- ten- und Entschädigungsfolgen (vgl. Urteile des Bundesgerichts 5D_155/2013 vom 22. Oktober 2013 E. 4.3 und 5A_34/2009 vom 26. Mai 2009 E. 11.3). Man- gels Bezifferung des Kostenantrags kann jedoch auch in diesem Fall auf das Be- gehren nicht eingetreten werden (Urteil des Kantonsgerichts von Graubünden ZK2 16 56 vom 19. Juni 2017 E. 4). Die Rechtsfolge des Nichteintretens auf unbeziffer- te Begehren steht unter dem Vorbehalt des überspitzten Formalismus (Art. 29 Abs. 1 BV; BGE 137 III 617 E. 6.2). Mangelt es jedoch bereits an einem konkreten Antrag, ist auf die Beschwerde nicht einzutreten (Urteil des Obergerichts Zürich PP170023 vom 26. Oktober 2017 E. 4a). 5.4. Ein Beschwerdeentscheid ist grundsätzlich kassatorisch, kann jedoch auch reformatorisch sein. Insbesondere für diesen Fall ist ein Antrag in der Sache, der bei Gutheissung der Beschwerde zum Entscheid erhoben werden kann, unab- dingbar (Ivo W. Hungerbühler/Manuel Bucher, in: Brunner/Gasser/Schwander [Hrsg.], Schweizerische Zivilprozessordnung, Kommentar, 2. Aufl., Zürich 2016, N 19 zu Art. 321 ZPO). 5.5. Im vorliegenden Fall hat der Beschwerdeführer keinen Antrag in Bezug auf den Entschädigungsentscheid der Vorinstanz gestellt. Er hat auch nicht konkret angegeben, welche Positionen der Honorarnote des Beschwerdegegners vor dem 24. April 2018 gestrichen werden sollten. Im Gegensatz dazu ist vom Beschwerde- führer behauptet und erstellt, dass er seinen Rechtsanwalt am 8. Januar 2018 zur Vertretung und Wahrnehmung seiner Interessen "in Sachen A._____ betr. Werk- lohn" mandatierte. Der Beschwerdeführer argumentiert bezüglich der Entschädi- gung für den Fall, dass das Kantonsgericht den vorinstanzlichen Entscheid stützt, womit er eine Änderung des angefochtenen Entscheids im Sinne einer reformato- rischen Anpassung verlangt. Im Sinne der vorstehend aufgeführten Anforderungen hätte hier, insbesondere bei einem anwaltlich vertretenen Beschwerdeführer, ein entsprechender Antrag formuliert werden müssen. Dieser hätte im Falle des Ob- siegens zum Entscheid erhoben werden können. Der Beschwerdeführer hat einen solchen Antrag jedoch unterlassen. Auf die Beanstandungen betreffend Berück- sichtigung der vor Vorinstanz eingereichten Honorarnote des Beschwerdegegners ist somit nicht einzutreten.</w:t>
      </w:r>
    </w:p>
    <w:p>
      <w:r>
        <w:rPr>
          <w:b/>
        </w:rPr>
        <w:t>E. 11</w:t>
      </w:r>
    </w:p>
    <w:p>
      <w:r>
        <w:t>/ 12</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